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pPr>
      <w:r>
        <w:drawing>
          <wp:inline distT="0" distB="0" distL="0" distR="0">
            <wp:extent cx="1257300" cy="552450"/>
            <wp:effectExtent t="0" r="0" b="0" l="0"/>
            <wp:docPr id="1" name="logo" descr="Logo Equal Pay Check" title="Equal Pay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257300" cy="552450"/>
                    </a:xfrm>
                    <a:prstGeom prst="rect">
                      <a:avLst/>
                    </a:prstGeom>
                  </pic:spPr>
                </pic:pic>
              </a:graphicData>
            </a:graphic>
          </wp:inline>
        </w:drawing>
      </w:r>
    </w:p>
    <w:p>
      <w:pPr>
        <w:spacing w:after="100"/>
      </w:pPr>
      <w:r>
        <w:rPr>
          <w:rFonts w:ascii="Poppins" w:cs="Poppins" w:eastAsia="Poppins" w:hAnsi="Poppins"/>
          <w:b/>
          <w:bCs/>
          <w:color w:val="C70056"/>
          <w:spacing w:val="40"/>
          <w:sz w:val="17"/>
          <w:szCs w:val="17"/>
        </w:rPr>
        <w:t xml:space="preserve">PERSBERICHT</w:t>
      </w:r>
    </w:p>
    <w:p>
      <w:pPr>
        <w:keepNext/>
        <w:spacing w:after="140" w:line="252"/>
      </w:pPr>
      <w:r>
        <w:rPr>
          <w:rFonts w:ascii="Poppins" w:cs="Poppins" w:eastAsia="Poppins" w:hAnsi="Poppins"/>
          <w:b/>
          <w:bCs/>
          <w:color w:val="26133E"/>
          <w:sz w:val="40"/>
          <w:szCs w:val="40"/>
        </w:rPr>
        <w:t xml:space="preserve">Tien gratis whitepapers helpen werkgevers op weg naar loontransparantie</w:t>
      </w:r>
    </w:p>
    <w:p>
      <w:pPr>
        <w:spacing w:after="240" w:before="0" w:line="288"/>
      </w:pPr>
      <w:r>
        <w:rPr>
          <w:rFonts w:ascii="Calibri" w:cs="Calibri" w:eastAsia="Calibri" w:hAnsi="Calibri"/>
          <w:color w:val="5F566E"/>
          <w:sz w:val="23"/>
          <w:szCs w:val="23"/>
        </w:rPr>
        <w:t xml:space="preserve">Equal Pay Check bundelt de nieuwe regels in praktische gidsen; definitieve CBS-cijfers tonen een loonkloof van 9,8 procent</w:t>
      </w:r>
    </w:p>
    <w:p>
      <w:pPr>
        <w:spacing w:after="200" w:before="0" w:line="300"/>
      </w:pPr>
      <w:r>
        <w:rPr>
          <w:rFonts w:ascii="Calibri" w:cs="Calibri" w:eastAsia="Calibri" w:hAnsi="Calibri"/>
          <w:b/>
          <w:bCs/>
          <w:color w:val="26133E"/>
          <w:sz w:val="22"/>
          <w:szCs w:val="22"/>
        </w:rPr>
        <w:t xml:space="preserve">ENSCHEDE, 26 oktober 2026. Equal Pay Check stelt vanaf vandaag tien gratis whitepapers beschikbaar over de Wet implementatie Richtlijn loontransparantie mannen en vrouwen. De reeks van 160 pagina's legt stap voor stap uit wat de nieuwe regels van werkgevers vragen, van functiewaardering en werving tot loonrapportage, herstel en bewijs. De publicatie volgt kort op de definitieve CBS-cijfers over 2025: vrouwen verdienden dat jaar gemiddeld 9,8 procent minder per uur dan mannen.</w:t>
      </w:r>
      <w:hyperlink w:history="1" r:id="rIdrss7cadh07eigygnbyjox">
        <w:r>
          <w:rPr>
            <w:rFonts w:ascii="Calibri" w:cs="Calibri" w:eastAsia="Calibri" w:hAnsi="Calibri"/>
            <w:color w:val="8A8296"/>
            <w:sz w:val="15"/>
            <w:szCs w:val="15"/>
            <w:vertAlign w:val="superscript"/>
          </w:rPr>
          <w:t xml:space="preserve">[1]</w:t>
        </w:r>
      </w:hyperlink>
    </w:p>
    <w:p>
      <w:pPr>
        <w:spacing w:after="130" w:before="0" w:line="280"/>
      </w:pPr>
      <w:r>
        <w:rPr>
          <w:rFonts w:ascii="Calibri" w:cs="Calibri" w:eastAsia="Calibri" w:hAnsi="Calibri"/>
          <w:color w:val="3B3446"/>
          <w:sz w:val="21"/>
          <w:szCs w:val="21"/>
        </w:rPr>
        <w:t xml:space="preserve">Dat percentage is het verschil tussen de gemiddelde uurlonen van vrouwen en mannen in loondienst. Het is geen meting van ongelijke beloning voor hetzelfde of gelijkwaardig werk. Om verschillen binnen een organisatie te beoordelen, is inzicht nodig in de functies, het beloningsbeleid en de toepassing daarvan. Omgerekend naar dagen werken vrouwen dit jaar vanaf 26 november symbolisch onbetaald, volgens een berekening van Equal Pay Check op basis van de CBS-cijfers.</w:t>
      </w:r>
      <w:hyperlink w:history="1" r:id="rIdycx_1o6kq2c2edtpb-_gn">
        <w:r>
          <w:rPr>
            <w:rFonts w:ascii="Calibri" w:cs="Calibri" w:eastAsia="Calibri" w:hAnsi="Calibri"/>
            <w:color w:val="8A8296"/>
            <w:sz w:val="15"/>
            <w:szCs w:val="15"/>
            <w:vertAlign w:val="superscript"/>
          </w:rPr>
          <w:t xml:space="preserve">[1]</w:t>
        </w:r>
      </w:hyperlink>
    </w:p>
    <w:p>
      <w:pPr>
        <w:keepLines/>
        <w:spacing w:after="140" w:line="290"/>
      </w:pPr>
      <w:r>
        <w:rPr>
          <w:rFonts w:ascii="Calibri" w:cs="Calibri" w:eastAsia="Calibri" w:hAnsi="Calibri"/>
          <w:i/>
          <w:iCs/>
          <w:color w:val="26133E"/>
          <w:sz w:val="21"/>
          <w:szCs w:val="21"/>
        </w:rPr>
        <w:t xml:space="preserve">“Een salarisverschil kan jarenlang blijven bestaan omdat niemand opnieuw kijkt naar de reden ervoor. Werkgevers moeten kunnen uitleggen hoe zij belonen en beoordelen of die uitleg nog klopt. Met Equal Pay Check helpen we hen vaststellen waar ze moeten beginnen”</w:t>
      </w:r>
      <w:r>
        <w:rPr>
          <w:rFonts w:ascii="Calibri" w:cs="Calibri" w:eastAsia="Calibri" w:hAnsi="Calibri"/>
          <w:color w:val="3B3446"/>
          <w:sz w:val="21"/>
          <w:szCs w:val="21"/>
        </w:rPr>
        <w:t xml:space="preserve">, zegt Marc Altink van Equal Pay Check.</w:t>
      </w:r>
    </w:p>
    <w:p>
      <w:pPr>
        <w:keepNext/>
        <w:spacing w:after="100" w:before="220"/>
      </w:pPr>
      <w:r>
        <w:rPr>
          <w:rFonts w:ascii="Poppins" w:cs="Poppins" w:eastAsia="Poppins" w:hAnsi="Poppins"/>
          <w:b/>
          <w:bCs/>
          <w:color w:val="26133E"/>
          <w:sz w:val="25"/>
          <w:szCs w:val="25"/>
        </w:rPr>
        <w:t xml:space="preserve">Tien gidsen langs de route van de wet</w:t>
      </w:r>
    </w:p>
    <w:p>
      <w:pPr>
        <w:spacing w:after="130" w:before="0" w:line="280"/>
      </w:pPr>
      <w:r>
        <w:rPr>
          <w:rFonts w:ascii="Calibri" w:cs="Calibri" w:eastAsia="Calibri" w:hAnsi="Calibri"/>
          <w:color w:val="3B3446"/>
          <w:sz w:val="21"/>
          <w:szCs w:val="21"/>
        </w:rPr>
        <w:t xml:space="preserve">Elke whitepaper staat op zichzelf. Samen volgen ze de route van het wetsvoorstel: eerst de basis en de functiewaardering, dan werving en het informatierecht van medewerkers, en tot slot beloningsonderzoek, loonrapportage, herstel en bewijs. De gidsen bevatten rekenvoorbeelden, modelteksten, werkbladen en controlelijsten, en vermelden per hoofdstuk hun bronnen. De juridische stand is gecontroleerd op 25 oktober 2026.</w:t>
      </w:r>
    </w:p>
    <w:p>
      <w:pPr>
        <w:pStyle w:val="ListParagraph"/>
        <w:numPr>
          <w:ilvl w:val="0"/>
          <w:numId w:val="2"/>
        </w:numPr>
        <w:spacing w:after="20" w:line="264"/>
      </w:pPr>
      <w:r>
        <w:rPr>
          <w:rFonts w:ascii="Calibri" w:cs="Calibri" w:eastAsia="Calibri" w:hAnsi="Calibri"/>
          <w:color w:val="3B3446"/>
          <w:sz w:val="21"/>
          <w:szCs w:val="21"/>
        </w:rPr>
        <w:t xml:space="preserve">Loontransparantie voor ondernemers</w:t>
      </w:r>
    </w:p>
    <w:p>
      <w:pPr>
        <w:pStyle w:val="ListParagraph"/>
        <w:numPr>
          <w:ilvl w:val="0"/>
          <w:numId w:val="2"/>
        </w:numPr>
        <w:spacing w:after="20" w:line="264"/>
      </w:pPr>
      <w:r>
        <w:rPr>
          <w:rFonts w:ascii="Calibri" w:cs="Calibri" w:eastAsia="Calibri" w:hAnsi="Calibri"/>
          <w:color w:val="3B3446"/>
          <w:sz w:val="21"/>
          <w:szCs w:val="21"/>
        </w:rPr>
        <w:t xml:space="preserve">Genderneutrale functiewaardering</w:t>
      </w:r>
    </w:p>
    <w:p>
      <w:pPr>
        <w:pStyle w:val="ListParagraph"/>
        <w:numPr>
          <w:ilvl w:val="0"/>
          <w:numId w:val="2"/>
        </w:numPr>
        <w:spacing w:after="20" w:line="264"/>
      </w:pPr>
      <w:r>
        <w:rPr>
          <w:rFonts w:ascii="Calibri" w:cs="Calibri" w:eastAsia="Calibri" w:hAnsi="Calibri"/>
          <w:color w:val="3B3446"/>
          <w:sz w:val="21"/>
          <w:szCs w:val="21"/>
        </w:rPr>
        <w:t xml:space="preserve">Salarisbandbreedtes voor Nederlandse functies</w:t>
      </w:r>
    </w:p>
    <w:p>
      <w:pPr>
        <w:pStyle w:val="ListParagraph"/>
        <w:numPr>
          <w:ilvl w:val="0"/>
          <w:numId w:val="2"/>
        </w:numPr>
        <w:spacing w:after="20" w:line="264"/>
      </w:pPr>
      <w:r>
        <w:rPr>
          <w:rFonts w:ascii="Calibri" w:cs="Calibri" w:eastAsia="Calibri" w:hAnsi="Calibri"/>
          <w:color w:val="3B3446"/>
          <w:sz w:val="21"/>
          <w:szCs w:val="21"/>
        </w:rPr>
        <w:t xml:space="preserve">Transparant werven en salaris afspreken</w:t>
      </w:r>
    </w:p>
    <w:p>
      <w:pPr>
        <w:pStyle w:val="ListParagraph"/>
        <w:numPr>
          <w:ilvl w:val="0"/>
          <w:numId w:val="2"/>
        </w:numPr>
        <w:spacing w:after="20" w:line="264"/>
      </w:pPr>
      <w:r>
        <w:rPr>
          <w:rFonts w:ascii="Calibri" w:cs="Calibri" w:eastAsia="Calibri" w:hAnsi="Calibri"/>
          <w:color w:val="3B3446"/>
          <w:sz w:val="21"/>
          <w:szCs w:val="21"/>
        </w:rPr>
        <w:t xml:space="preserve">Wanneer loonverschillen gerechtvaardigd zijn</w:t>
      </w:r>
    </w:p>
    <w:p>
      <w:pPr>
        <w:pStyle w:val="ListParagraph"/>
        <w:numPr>
          <w:ilvl w:val="0"/>
          <w:numId w:val="2"/>
        </w:numPr>
        <w:spacing w:after="20" w:line="264"/>
      </w:pPr>
      <w:r>
        <w:rPr>
          <w:rFonts w:ascii="Calibri" w:cs="Calibri" w:eastAsia="Calibri" w:hAnsi="Calibri"/>
          <w:color w:val="3B3446"/>
          <w:sz w:val="21"/>
          <w:szCs w:val="21"/>
        </w:rPr>
        <w:t xml:space="preserve">Het informatierecht van medewerkers</w:t>
      </w:r>
    </w:p>
    <w:p>
      <w:pPr>
        <w:pStyle w:val="ListParagraph"/>
        <w:numPr>
          <w:ilvl w:val="0"/>
          <w:numId w:val="2"/>
        </w:numPr>
        <w:spacing w:after="20" w:line="264"/>
      </w:pPr>
      <w:r>
        <w:rPr>
          <w:rFonts w:ascii="Calibri" w:cs="Calibri" w:eastAsia="Calibri" w:hAnsi="Calibri"/>
          <w:color w:val="3B3446"/>
          <w:sz w:val="21"/>
          <w:szCs w:val="21"/>
        </w:rPr>
        <w:t xml:space="preserve">Beloningsonderzoek in uw organisatie</w:t>
      </w:r>
    </w:p>
    <w:p>
      <w:pPr>
        <w:pStyle w:val="ListParagraph"/>
        <w:numPr>
          <w:ilvl w:val="0"/>
          <w:numId w:val="2"/>
        </w:numPr>
        <w:spacing w:after="20" w:line="264"/>
      </w:pPr>
      <w:r>
        <w:rPr>
          <w:rFonts w:ascii="Calibri" w:cs="Calibri" w:eastAsia="Calibri" w:hAnsi="Calibri"/>
          <w:color w:val="3B3446"/>
          <w:sz w:val="21"/>
          <w:szCs w:val="21"/>
        </w:rPr>
        <w:t xml:space="preserve">De verplichte loonrapportage</w:t>
      </w:r>
    </w:p>
    <w:p>
      <w:pPr>
        <w:pStyle w:val="ListParagraph"/>
        <w:numPr>
          <w:ilvl w:val="0"/>
          <w:numId w:val="2"/>
        </w:numPr>
        <w:spacing w:after="20" w:line="264"/>
      </w:pPr>
      <w:r>
        <w:rPr>
          <w:rFonts w:ascii="Calibri" w:cs="Calibri" w:eastAsia="Calibri" w:hAnsi="Calibri"/>
          <w:color w:val="3B3446"/>
          <w:sz w:val="21"/>
          <w:szCs w:val="21"/>
        </w:rPr>
        <w:t xml:space="preserve">Onverklaarde loonverschillen herstellen</w:t>
      </w:r>
    </w:p>
    <w:p>
      <w:pPr>
        <w:pStyle w:val="ListParagraph"/>
        <w:numPr>
          <w:ilvl w:val="0"/>
          <w:numId w:val="2"/>
        </w:numPr>
        <w:spacing w:after="140" w:line="264"/>
      </w:pPr>
      <w:r>
        <w:rPr>
          <w:rFonts w:ascii="Calibri" w:cs="Calibri" w:eastAsia="Calibri" w:hAnsi="Calibri"/>
          <w:color w:val="3B3446"/>
          <w:sz w:val="21"/>
          <w:szCs w:val="21"/>
        </w:rPr>
        <w:t xml:space="preserve">Loontransparantie aantoonbaar op orde</w:t>
      </w:r>
    </w:p>
    <w:p>
      <w:pPr>
        <w:spacing w:after="130" w:before="0" w:line="280"/>
      </w:pPr>
      <w:r>
        <w:rPr>
          <w:rFonts w:ascii="Calibri" w:cs="Calibri" w:eastAsia="Calibri" w:hAnsi="Calibri"/>
          <w:color w:val="3B3446"/>
          <w:sz w:val="21"/>
          <w:szCs w:val="21"/>
        </w:rPr>
        <w:t xml:space="preserve">De whitepapers zijn gratis te downloaden via www.equalpaycheck.eu/whitepapers. Wie ze aanvraagt, schrijft zich daarmee in voor de Equal Pay Nieuwsbrief.</w:t>
      </w:r>
    </w:p>
    <w:p>
      <w:pPr>
        <w:keepNext/>
        <w:spacing w:after="100" w:before="220"/>
      </w:pPr>
      <w:r>
        <w:rPr>
          <w:rFonts w:ascii="Poppins" w:cs="Poppins" w:eastAsia="Poppins" w:hAnsi="Poppins"/>
          <w:b/>
          <w:bCs/>
          <w:color w:val="26133E"/>
          <w:sz w:val="25"/>
          <w:szCs w:val="25"/>
        </w:rPr>
        <w:t xml:space="preserve">Van Quick Scan tot actieplan</w:t>
      </w:r>
    </w:p>
    <w:p>
      <w:pPr>
        <w:spacing w:after="130" w:before="0" w:line="280"/>
      </w:pPr>
      <w:r>
        <w:rPr>
          <w:rFonts w:ascii="Calibri" w:cs="Calibri" w:eastAsia="Calibri" w:hAnsi="Calibri"/>
          <w:color w:val="3B3446"/>
          <w:sz w:val="21"/>
          <w:szCs w:val="21"/>
        </w:rPr>
        <w:t xml:space="preserve">Naast de whitepapers biedt Equal Pay Check een online zelfevaluatie. Organisaties beginnen met een gratis Quick Scan van twaalf vragen, die ongeveer tien minuten duurt. De volledige check onderzoekt vijf thema's: het beloningsfundament, instroom, groei en doorstroom, transparantie, en data en actieplanning. Er worden geen individuele salarisgegevens gevraagd of verwerkt.</w:t>
      </w:r>
    </w:p>
    <w:p>
      <w:pPr>
        <w:spacing w:after="130" w:before="0" w:line="280"/>
      </w:pPr>
      <w:r>
        <w:rPr>
          <w:rFonts w:ascii="Calibri" w:cs="Calibri" w:eastAsia="Calibri" w:hAnsi="Calibri"/>
          <w:color w:val="3B3446"/>
          <w:sz w:val="21"/>
          <w:szCs w:val="21"/>
        </w:rPr>
        <w:t xml:space="preserve">Na inhoudelijke beoordeling ontvangen deelnemers binnen 24 tot 72 uur een rapport met bevindingen per thema, risicosignalen, een directiesamenvatting en een geprioriteerd actieplan. Een online adviesgesprek van een uur is inbegrepen. Equal Pay Check is een zelfevaluatie: het instrument berekent geen loonkloof en biedt geen certificering, audit of garantie dat een organisatie aan de wet voldoet. Zeven werkgevers, van onder de honderd tot ruim tweeduizend medewerkers, testten de check vóór de lancering in september.</w:t>
      </w:r>
    </w:p>
    <w:p>
      <w:pPr>
        <w:keepLines/>
        <w:spacing w:after="140" w:line="290"/>
      </w:pPr>
      <w:r>
        <w:rPr>
          <w:rFonts w:ascii="Calibri" w:cs="Calibri" w:eastAsia="Calibri" w:hAnsi="Calibri"/>
          <w:i/>
          <w:iCs/>
          <w:color w:val="26133E"/>
          <w:sz w:val="21"/>
          <w:szCs w:val="21"/>
        </w:rPr>
        <w:t xml:space="preserve">“Het adviesgesprek hoort erbij omdat een antwoord in een vragenlijst uitleg nodig kan hebben. We bespreken wat een bevinding in die organisatie betekent en welke stap als eerste nodig is. Zo kan een werkgever gericht aan de slag”</w:t>
      </w:r>
      <w:r>
        <w:rPr>
          <w:rFonts w:ascii="Calibri" w:cs="Calibri" w:eastAsia="Calibri" w:hAnsi="Calibri"/>
          <w:color w:val="3B3446"/>
          <w:sz w:val="21"/>
          <w:szCs w:val="21"/>
        </w:rPr>
        <w:t xml:space="preserve">, zegt Wob ten Hoeve van Equal Pay Check.</w:t>
      </w:r>
    </w:p>
    <w:p>
      <w:pPr>
        <w:keepNext/>
        <w:spacing w:after="100" w:before="220"/>
      </w:pPr>
      <w:r>
        <w:rPr>
          <w:rFonts w:ascii="Poppins" w:cs="Poppins" w:eastAsia="Poppins" w:hAnsi="Poppins"/>
          <w:b/>
          <w:bCs/>
          <w:color w:val="26133E"/>
          <w:sz w:val="25"/>
          <w:szCs w:val="25"/>
        </w:rPr>
        <w:t xml:space="preserve">Stand van de wet</w:t>
      </w:r>
    </w:p>
    <w:p>
      <w:pPr>
        <w:spacing w:after="130" w:before="0" w:line="280"/>
      </w:pPr>
      <w:r>
        <w:rPr>
          <w:rFonts w:ascii="Calibri" w:cs="Calibri" w:eastAsia="Calibri" w:hAnsi="Calibri"/>
          <w:color w:val="3B3446"/>
          <w:sz w:val="21"/>
          <w:szCs w:val="21"/>
        </w:rPr>
        <w:t xml:space="preserve">Het wetsvoorstel (Kamerstuk 36949) ligt bij de Tweede Kamer, die het op 14 december bespreekt in een wetgevingsoverleg. Daarna volgen de plenaire behandeling en de Eerste Kamer.</w:t>
      </w:r>
      <w:hyperlink w:history="1" r:id="rIdawsrysrhuasalxpfvtm3m">
        <w:r>
          <w:rPr>
            <w:rFonts w:ascii="Calibri" w:cs="Calibri" w:eastAsia="Calibri" w:hAnsi="Calibri"/>
            <w:color w:val="8A8296"/>
            <w:sz w:val="15"/>
            <w:szCs w:val="15"/>
            <w:vertAlign w:val="superscript"/>
          </w:rPr>
          <w:t xml:space="preserve">[2]</w:t>
        </w:r>
      </w:hyperlink>
      <w:r>
        <w:rPr>
          <w:rFonts w:ascii="Calibri" w:cs="Calibri" w:eastAsia="Calibri" w:hAnsi="Calibri"/>
          <w:color w:val="3B3446"/>
          <w:sz w:val="21"/>
          <w:szCs w:val="21"/>
        </w:rPr>
        <w:t xml:space="preserve"> Het kabinet streeft naar invoering per 1 januari 2027, maar die datum staat nog niet vast. De Europese richtlijn had uiterlijk 7 juni 2026 in nationale wetgeving omgezet moeten zijn.</w:t>
      </w:r>
      <w:hyperlink w:history="1" r:id="rIdye52b245flm5moccqpbns">
        <w:r>
          <w:rPr>
            <w:rFonts w:ascii="Calibri" w:cs="Calibri" w:eastAsia="Calibri" w:hAnsi="Calibri"/>
            <w:color w:val="8A8296"/>
            <w:sz w:val="15"/>
            <w:szCs w:val="15"/>
            <w:vertAlign w:val="superscript"/>
          </w:rPr>
          <w:t xml:space="preserve">[3]</w:t>
        </w:r>
      </w:hyperlink>
    </w:p>
    <w:p>
      <w:pPr>
        <w:spacing w:after="130" w:before="0" w:line="280"/>
      </w:pPr>
      <w:r>
        <w:rPr>
          <w:rFonts w:ascii="Calibri" w:cs="Calibri" w:eastAsia="Calibri" w:hAnsi="Calibri"/>
          <w:color w:val="3B3446"/>
          <w:sz w:val="21"/>
          <w:szCs w:val="21"/>
        </w:rPr>
        <w:t xml:space="preserve">Het voorstel regelt onder meer salarisinformatie voor sollicitanten, een verbod op vragen naar het salarisverleden, informatierechten voor werknemers en een loonrapportage voor grotere werkgevers. Werkgevers met ten minste 150 werknemers rapporteren voor het eerst uiterlijk 7 juni 2028 over 2027; werkgevers met 100 tot 149 werknemers volgen uiterlijk 7 juni 2031 over 2030.</w:t>
      </w:r>
      <w:hyperlink w:history="1" r:id="rIde5t90tczfcmuwz3aqim9n">
        <w:r>
          <w:rPr>
            <w:rFonts w:ascii="Calibri" w:cs="Calibri" w:eastAsia="Calibri" w:hAnsi="Calibri"/>
            <w:color w:val="8A8296"/>
            <w:sz w:val="15"/>
            <w:szCs w:val="15"/>
            <w:vertAlign w:val="superscript"/>
          </w:rPr>
          <w:t xml:space="preserve">[4]</w:t>
        </w:r>
      </w:hyperlink>
      <w:r>
        <w:rPr>
          <w:rFonts w:ascii="Calibri" w:cs="Calibri" w:eastAsia="Calibri" w:hAnsi="Calibri"/>
          <w:color w:val="3B3446"/>
          <w:sz w:val="21"/>
          <w:szCs w:val="21"/>
        </w:rPr>
        <w:t xml:space="preserve"> Het recht op gelijke beloning voor gelijk of gelijkwaardig werk geldt nu al.</w:t>
      </w:r>
    </w:p>
    <w:p>
      <w:pPr>
        <w:keepNext/>
        <w:spacing w:after="100" w:before="220"/>
      </w:pPr>
      <w:r>
        <w:rPr>
          <w:rFonts w:ascii="Poppins" w:cs="Poppins" w:eastAsia="Poppins" w:hAnsi="Poppins"/>
          <w:b/>
          <w:bCs/>
          <w:color w:val="26133E"/>
          <w:sz w:val="25"/>
          <w:szCs w:val="25"/>
        </w:rPr>
        <w:t xml:space="preserve">Prijs en beschikbaarheid</w:t>
      </w:r>
    </w:p>
    <w:p>
      <w:pPr>
        <w:spacing w:after="130" w:before="0" w:line="280"/>
      </w:pPr>
      <w:r>
        <w:rPr>
          <w:rFonts w:ascii="Calibri" w:cs="Calibri" w:eastAsia="Calibri" w:hAnsi="Calibri"/>
          <w:color w:val="3B3446"/>
          <w:sz w:val="21"/>
          <w:szCs w:val="21"/>
        </w:rPr>
        <w:t xml:space="preserve">De whitepapers en de Quick Scan zijn gratis via www.equalpaycheck.eu. De volledige Equal Pay Check, inclusief adviesgesprek, kost tijdelijk €995 exclusief btw; de reguliere prijs is €1.495 exclusief btw.</w:t>
      </w:r>
    </w:p>
    <w:p>
      <w:pPr>
        <w:keepNext/>
        <w:spacing w:after="100" w:before="220"/>
      </w:pPr>
      <w:r>
        <w:rPr>
          <w:rFonts w:ascii="Poppins" w:cs="Poppins" w:eastAsia="Poppins" w:hAnsi="Poppins"/>
          <w:b/>
          <w:bCs/>
          <w:color w:val="26133E"/>
          <w:sz w:val="25"/>
          <w:szCs w:val="25"/>
        </w:rPr>
        <w:t xml:space="preserve">Over Equal Pay Check</w:t>
      </w:r>
    </w:p>
    <w:p>
      <w:pPr>
        <w:spacing w:after="130" w:before="0" w:line="280"/>
      </w:pPr>
      <w:r>
        <w:rPr>
          <w:rFonts w:ascii="Calibri" w:cs="Calibri" w:eastAsia="Calibri" w:hAnsi="Calibri"/>
          <w:color w:val="3B3446"/>
          <w:sz w:val="21"/>
          <w:szCs w:val="21"/>
        </w:rPr>
        <w:t xml:space="preserve">Equal Pay Check is een dienst van KNYFE en De BusinessCreator. Het helpt organisaties zich voor te bereiden op loontransparantie en gelijke beloning, met een online zelfevaluatie, een inhoudelijk beoordeeld rapport, een actieplan, persoonlijk advies en gratis kennis in de vorm van whitepapers.</w:t>
      </w:r>
    </w:p>
    <w:p>
      <w:pPr>
        <w:spacing w:after="260" w:before="200"/>
        <w:jc w:val="center"/>
      </w:pPr>
      <w:r>
        <w:rPr>
          <w:rFonts w:ascii="Calibri" w:cs="Calibri" w:eastAsia="Calibri" w:hAnsi="Calibri"/>
          <w:color w:val="5F566E"/>
          <w:sz w:val="19"/>
          <w:szCs w:val="19"/>
        </w:rPr>
        <w:t xml:space="preserve">– einde persbericht –</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9412"/>
      </w:tblGrid>
      <w:tr>
        <w:trPr>
          <w:cantSplit/>
        </w:trPr>
        <w:tc>
          <w:tcPr>
            <w:tcW w:type="dxa" w:w="9412"/>
            <w:tcBorders>
              <w:top w:val="single" w:color="E2DBEC" w:sz="6"/>
              <w:left w:val="single" w:color="E2DBEC" w:sz="6"/>
              <w:bottom w:val="single" w:color="E2DBEC" w:sz="6"/>
              <w:right w:val="single" w:color="E2DBEC" w:sz="6"/>
            </w:tcBorders>
            <w:shd w:fill="F2EEF7" w:color="auto" w:val="clear"/>
            <w:tcMar>
              <w:top w:type="dxa" w:w="140"/>
              <w:left w:type="dxa" w:w="200"/>
              <w:bottom w:type="dxa" w:w="140"/>
              <w:right w:type="dxa" w:w="200"/>
            </w:tcMar>
          </w:tcPr>
          <w:p>
            <w:pPr>
              <w:spacing w:after="60"/>
            </w:pPr>
            <w:r>
              <w:rPr>
                <w:rFonts w:ascii="Poppins" w:cs="Poppins" w:eastAsia="Poppins" w:hAnsi="Poppins"/>
                <w:b/>
                <w:bCs/>
                <w:color w:val="26133E"/>
                <w:sz w:val="20"/>
                <w:szCs w:val="20"/>
              </w:rPr>
              <w:t xml:space="preserve">Noot voor de redactie (niet voor publicatie)</w:t>
            </w:r>
          </w:p>
          <w:p>
            <w:pPr>
              <w:spacing w:after="0" w:line="270"/>
            </w:pPr>
            <w:r>
              <w:rPr>
                <w:rFonts w:ascii="Calibri" w:cs="Calibri" w:eastAsia="Calibri" w:hAnsi="Calibri"/>
                <w:color w:val="3B3446"/>
                <w:sz w:val="20"/>
                <w:szCs w:val="20"/>
              </w:rPr>
              <w:t xml:space="preserve">Voor meer informatie of een interview:</w:t>
            </w:r>
          </w:p>
          <w:p>
            <w:pPr>
              <w:spacing w:after="0" w:line="270"/>
            </w:pPr>
            <w:r>
              <w:rPr>
                <w:rFonts w:ascii="Calibri" w:cs="Calibri" w:eastAsia="Calibri" w:hAnsi="Calibri"/>
                <w:b/>
                <w:bCs/>
                <w:color w:val="26133E"/>
                <w:sz w:val="20"/>
                <w:szCs w:val="20"/>
              </w:rPr>
              <w:t xml:space="preserve">Wob ten Hoeve</w:t>
            </w:r>
            <w:r>
              <w:rPr>
                <w:rFonts w:ascii="Calibri" w:cs="Calibri" w:eastAsia="Calibri" w:hAnsi="Calibri"/>
                <w:color w:val="3B3446"/>
                <w:sz w:val="20"/>
                <w:szCs w:val="20"/>
              </w:rPr>
              <w:t xml:space="preserve">, Equal Pay Check</w:t>
            </w:r>
          </w:p>
          <w:p>
            <w:pPr>
              <w:spacing w:after="0" w:line="270"/>
            </w:pPr>
            <w:r>
              <w:rPr>
                <w:rFonts w:ascii="Calibri" w:cs="Calibri" w:eastAsia="Calibri" w:hAnsi="Calibri"/>
                <w:color w:val="3B3446"/>
                <w:sz w:val="20"/>
                <w:szCs w:val="20"/>
              </w:rPr>
              <w:t xml:space="preserve">Telefoon: +31 6 46 26 09 05</w:t>
            </w:r>
          </w:p>
          <w:p>
            <w:pPr>
              <w:spacing w:after="0" w:line="270"/>
            </w:pPr>
            <w:r>
              <w:rPr>
                <w:rFonts w:ascii="Calibri" w:cs="Calibri" w:eastAsia="Calibri" w:hAnsi="Calibri"/>
                <w:color w:val="3B3446"/>
                <w:sz w:val="20"/>
                <w:szCs w:val="20"/>
              </w:rPr>
              <w:t xml:space="preserve">E-mail: epc@knyfe.org</w:t>
            </w:r>
          </w:p>
          <w:p>
            <w:pPr>
              <w:spacing w:after="0" w:line="270"/>
            </w:pPr>
            <w:r>
              <w:rPr>
                <w:rFonts w:ascii="Calibri" w:cs="Calibri" w:eastAsia="Calibri" w:hAnsi="Calibri"/>
                <w:color w:val="3B3446"/>
                <w:sz w:val="20"/>
                <w:szCs w:val="20"/>
              </w:rPr>
              <w:t xml:space="preserve">Website: www.equalpaycheck.eu</w:t>
            </w:r>
          </w:p>
          <w:p>
            <w:pPr>
              <w:spacing w:after="0" w:line="270"/>
            </w:pPr>
            <w:r>
              <w:rPr>
                <w:rFonts w:ascii="Calibri" w:cs="Calibri" w:eastAsia="Calibri" w:hAnsi="Calibri"/>
                <w:color w:val="3B3446"/>
                <w:sz w:val="20"/>
                <w:szCs w:val="20"/>
              </w:rPr>
              <w:t xml:space="preserve">Logo's, de presentatie en dit persbericht staan in de perskit: www.equalpaycheck.eu/pers</w:t>
            </w:r>
          </w:p>
        </w:tc>
      </w:tr>
    </w:tbl>
    <w:p>
      <w:pPr>
        <w:keepNext/>
        <w:spacing w:after="60" w:before="320"/>
      </w:pPr>
      <w:r>
        <w:rPr>
          <w:rFonts w:ascii="Poppins" w:cs="Poppins" w:eastAsia="Poppins" w:hAnsi="Poppins"/>
          <w:b/>
          <w:bCs/>
          <w:color w:val="26133E"/>
          <w:sz w:val="20"/>
          <w:szCs w:val="20"/>
        </w:rPr>
        <w:t xml:space="preserve">Bronnen voor de redactie</w:t>
      </w:r>
    </w:p>
    <w:p>
      <w:pPr>
        <w:keepNext/>
        <w:spacing w:after="60" w:before="0" w:line="280"/>
      </w:pPr>
      <w:r>
        <w:rPr>
          <w:rFonts w:ascii="Calibri" w:cs="Calibri" w:eastAsia="Calibri" w:hAnsi="Calibri"/>
          <w:color w:val="5F566E"/>
          <w:sz w:val="17"/>
          <w:szCs w:val="17"/>
        </w:rPr>
        <w:t xml:space="preserve">Geraadpleegd op 25 oktober 2026.</w:t>
      </w:r>
    </w:p>
    <w:p>
      <w:pPr>
        <w:pStyle w:val="ListParagraph"/>
        <w:keepLines/>
        <w:numPr>
          <w:ilvl w:val="0"/>
          <w:numId w:val="3"/>
        </w:numPr>
        <w:spacing w:after="60" w:line="252"/>
      </w:pPr>
      <w:r>
        <w:rPr>
          <w:rFonts w:ascii="Calibri" w:cs="Calibri" w:eastAsia="Calibri" w:hAnsi="Calibri"/>
          <w:color w:val="3B3446"/>
          <w:sz w:val="17"/>
          <w:szCs w:val="17"/>
        </w:rPr>
        <w:t xml:space="preserve">CBS StatLine, Beloningsverschillen tussen mannen en vrouwen (81901NED). Definitieve cijfers over 2025, bijgewerkt op 16 oktober 2026: vrouwen verdienen gemiddeld 90,2 procent van het uurloon van mannen. Equal Pay Day is een eigen berekening: 9,8% × 365 dagen = 35,8 dagen, teruggerekend vanaf 31 december. </w:t>
      </w:r>
      <w:hyperlink w:history="1" r:id="rIdoo7qhuidncmeqgptfb8wy">
        <w:r>
          <w:rPr>
            <w:rFonts w:ascii="Calibri" w:cs="Calibri" w:eastAsia="Calibri" w:hAnsi="Calibri"/>
            <w:color w:val="C70056"/>
            <w:sz w:val="15"/>
            <w:szCs w:val="15"/>
            <w:u w:val="single"/>
          </w:rPr>
          <w:t xml:space="preserve">https://www.cbs.nl/nl-nl/cijfers/detail/81901NED</w:t>
        </w:r>
      </w:hyperlink>
    </w:p>
    <w:p>
      <w:pPr>
        <w:pStyle w:val="ListParagraph"/>
        <w:keepLines/>
        <w:numPr>
          <w:ilvl w:val="0"/>
          <w:numId w:val="3"/>
        </w:numPr>
        <w:spacing w:after="60" w:line="252"/>
      </w:pPr>
      <w:r>
        <w:rPr>
          <w:rFonts w:ascii="Calibri" w:cs="Calibri" w:eastAsia="Calibri" w:hAnsi="Calibri"/>
          <w:color w:val="3B3446"/>
          <w:sz w:val="17"/>
          <w:szCs w:val="17"/>
        </w:rPr>
        <w:t xml:space="preserve">Tweede Kamer, wetsvoorstel 36949 (Wet implementatie Richtlijn loontransparantie mannen en vrouwen) en de planning van de behandeling. </w:t>
      </w:r>
      <w:hyperlink w:history="1" r:id="rIdzho6puvtvs6psatwhbwfu">
        <w:r>
          <w:rPr>
            <w:rFonts w:ascii="Calibri" w:cs="Calibri" w:eastAsia="Calibri" w:hAnsi="Calibri"/>
            <w:color w:val="C70056"/>
            <w:sz w:val="15"/>
            <w:szCs w:val="15"/>
            <w:u w:val="single"/>
          </w:rPr>
          <w:t xml:space="preserve">https://www.tweedekamer.nl/kamerstukken/wetsvoorstellen/detail?cfg=wetsvoorsteldetails&amp;qry=wetsvoorstel%3A36949</w:t>
        </w:r>
      </w:hyperlink>
    </w:p>
    <w:p>
      <w:pPr>
        <w:pStyle w:val="ListParagraph"/>
        <w:keepLines/>
        <w:numPr>
          <w:ilvl w:val="0"/>
          <w:numId w:val="3"/>
        </w:numPr>
        <w:spacing w:after="60" w:line="252"/>
      </w:pPr>
      <w:r>
        <w:rPr>
          <w:rFonts w:ascii="Calibri" w:cs="Calibri" w:eastAsia="Calibri" w:hAnsi="Calibri"/>
          <w:color w:val="3B3446"/>
          <w:sz w:val="17"/>
          <w:szCs w:val="17"/>
        </w:rPr>
        <w:t xml:space="preserve">Richtlijn (EU) 2023/970 over loontransparantie, met omzettingstermijn 7 juni 2026. </w:t>
      </w:r>
      <w:hyperlink w:history="1" r:id="rIdazt0r1khzrrwj3wyougau">
        <w:r>
          <w:rPr>
            <w:rFonts w:ascii="Calibri" w:cs="Calibri" w:eastAsia="Calibri" w:hAnsi="Calibri"/>
            <w:color w:val="C70056"/>
            <w:sz w:val="15"/>
            <w:szCs w:val="15"/>
            <w:u w:val="single"/>
          </w:rPr>
          <w:t xml:space="preserve">https://eur-lex.europa.eu/legal-content/NL/ALL/?uri=CELEX:32023L0970</w:t>
        </w:r>
      </w:hyperlink>
    </w:p>
    <w:p>
      <w:pPr>
        <w:pStyle w:val="ListParagraph"/>
        <w:keepLines/>
        <w:numPr>
          <w:ilvl w:val="0"/>
          <w:numId w:val="3"/>
        </w:numPr>
        <w:spacing w:after="60" w:line="252"/>
      </w:pPr>
      <w:r>
        <w:rPr>
          <w:rFonts w:ascii="Calibri" w:cs="Calibri" w:eastAsia="Calibri" w:hAnsi="Calibri"/>
          <w:color w:val="3B3446"/>
          <w:sz w:val="17"/>
          <w:szCs w:val="17"/>
        </w:rPr>
        <w:t xml:space="preserve">Rijksoverheid, Meer openheid over loonkloof tussen mannen en vrouwen, 21 mei 2026. Nederlandse planning voor invoering en rapportage. </w:t>
      </w:r>
      <w:hyperlink w:history="1" r:id="rIdck_djf4-eq2ygbitqbox2">
        <w:r>
          <w:rPr>
            <w:rFonts w:ascii="Calibri" w:cs="Calibri" w:eastAsia="Calibri" w:hAnsi="Calibri"/>
            <w:color w:val="C70056"/>
            <w:sz w:val="15"/>
            <w:szCs w:val="15"/>
            <w:u w:val="single"/>
          </w:rPr>
          <w:t xml:space="preserve">https://www.rijksoverheid.nl/actueel/nieuws/2026/05/21/meer-openheid-over-loonkloof-tussen-mannen-en-vrouwen</w:t>
        </w:r>
      </w:hyperlink>
    </w:p>
    <w:sectPr>
      <w:footerReference w:type="default" r:id="rId7"/>
      <w:pgSz w:w="11906" w:h="16838" w:orient="portrait"/>
      <w:pgMar w:top="1134" w:right="1247" w:bottom="1134" w:left="1247" w:header="708"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2"/>
      </w:tabs>
    </w:pPr>
    <w:r>
      <w:rPr>
        <w:rFonts w:ascii="Calibri" w:cs="Calibri" w:eastAsia="Calibri" w:hAnsi="Calibri"/>
        <w:color w:val="5F566E"/>
        <w:sz w:val="16"/>
        <w:szCs w:val="16"/>
      </w:rPr>
      <w:t xml:space="preserve">Equal Pay Check · persbericht 26 oktober 2026</w:t>
    </w:r>
    <w:r>
      <w:rPr>
        <w:rFonts w:ascii="Calibri" w:cs="Calibri" w:eastAsia="Calibri" w:hAnsi="Calibri"/>
        <w:color w:val="5F566E"/>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20"/>
      </w:pPr>
    </w:lvl>
  </w:abstractNum>
  <w:abstractNum w:abstractNumId="3" w15:restartNumberingAfterBreak="0">
    <w:multiLevelType w:val="hybridMultilevel"/>
    <w:lvl w:ilvl="0" w15:tentative="1">
      <w:start w:val="1"/>
      <w:numFmt w:val="decimal"/>
      <w:lvlText w:val="%1."/>
      <w:lvlJc w:val="left"/>
      <w:pPr>
        <w:ind w:left="360" w:hanging="360"/>
      </w:pPr>
      <w:rPr>
        <w:sz w:val="17"/>
        <w:szCs w:val="17"/>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B3446"/>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ss7cadh07eigygnbyjox" Type="http://schemas.openxmlformats.org/officeDocument/2006/relationships/hyperlink" Target="https://www.cbs.nl/nl-nl/cijfers/detail/81901NED" TargetMode="External"/><Relationship Id="rIdycx_1o6kq2c2edtpb-_gn" Type="http://schemas.openxmlformats.org/officeDocument/2006/relationships/hyperlink" Target="https://www.cbs.nl/nl-nl/cijfers/detail/81901NED" TargetMode="External"/><Relationship Id="rIdawsrysrhuasalxpfvtm3m" Type="http://schemas.openxmlformats.org/officeDocument/2006/relationships/hyperlink" Target="https://www.tweedekamer.nl/kamerstukken/wetsvoorstellen/detail?cfg=wetsvoorsteldetails&amp;qry=wetsvoorstel%3A36949" TargetMode="External"/><Relationship Id="rIdye52b245flm5moccqpbns" Type="http://schemas.openxmlformats.org/officeDocument/2006/relationships/hyperlink" Target="https://eur-lex.europa.eu/legal-content/NL/ALL/?uri=CELEX:32023L0970" TargetMode="External"/><Relationship Id="rIde5t90tczfcmuwz3aqim9n" Type="http://schemas.openxmlformats.org/officeDocument/2006/relationships/hyperlink" Target="https://www.rijksoverheid.nl/actueel/nieuws/2026/05/21/meer-openheid-over-loonkloof-tussen-mannen-en-vrouwen" TargetMode="External"/><Relationship Id="rIdoo7qhuidncmeqgptfb8wy" Type="http://schemas.openxmlformats.org/officeDocument/2006/relationships/hyperlink" Target="https://www.cbs.nl/nl-nl/cijfers/detail/81901NED" TargetMode="External"/><Relationship Id="rIdzho6puvtvs6psatwhbwfu" Type="http://schemas.openxmlformats.org/officeDocument/2006/relationships/hyperlink" Target="https://www.tweedekamer.nl/kamerstukken/wetsvoorstellen/detail?cfg=wetsvoorsteldetails&amp;qry=wetsvoorstel%3A36949" TargetMode="External"/><Relationship Id="rIdazt0r1khzrrwj3wyougau" Type="http://schemas.openxmlformats.org/officeDocument/2006/relationships/hyperlink" Target="https://eur-lex.europa.eu/legal-content/NL/ALL/?uri=CELEX:32023L0970" TargetMode="External"/><Relationship Id="rIdck_djf4-eq2ygbitqbox2" Type="http://schemas.openxmlformats.org/officeDocument/2006/relationships/hyperlink" Target="https://www.rijksoverheid.nl/actueel/nieuws/2026/05/21/meer-openheid-over-loonkloof-tussen-mannen-en-vrouwen" TargetMode="External"/><Relationship Id="rId8" Type="http://schemas.openxmlformats.org/officeDocument/2006/relationships/image" Target="media/9cf44b13cf6f98a7e171e5f7e12a952f6f3bdb68.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 Tien gratis whitepapers helpen werkgevers op weg naar loontransparantie</dc:title>
  <dc:creator>Equal Pay Check</dc:creator>
  <dc:description>Persbericht Equal Pay Check, 26 oktober 2026</dc:description>
  <cp:lastModifiedBy>Un-named</cp:lastModifiedBy>
  <cp:revision>1</cp:revision>
  <dcterms:created xsi:type="dcterms:W3CDTF">2026-10-25T20:33:24.903Z</dcterms:created>
  <dcterms:modified xsi:type="dcterms:W3CDTF">2026-10-25T20:33:24.903Z</dcterms:modified>
</cp:coreProperties>
</file>

<file path=docProps/custom.xml><?xml version="1.0" encoding="utf-8"?>
<Properties xmlns="http://schemas.openxmlformats.org/officeDocument/2006/custom-properties" xmlns:vt="http://schemas.openxmlformats.org/officeDocument/2006/docPropsVTypes"/>
</file>